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Политика информационной безопасности</w:t>
      </w:r>
    </w:p>
    <w:p>
      <w:pPr>
        <w:pStyle w:val="Основной текст A"/>
        <w:rPr>
          <w:i w:val="1"/>
          <w:iCs w:val="1"/>
        </w:rPr>
      </w:pPr>
    </w:p>
    <w:p>
      <w:pPr>
        <w:pStyle w:val="Основной текст A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К оплате принимаются платежные карты</w:t>
      </w:r>
      <w:r>
        <w:rPr>
          <w:i w:val="1"/>
          <w:iCs w:val="1"/>
          <w:rtl w:val="0"/>
          <w:lang w:val="it-IT"/>
        </w:rPr>
        <w:t xml:space="preserve">: VISA, MasterCard, Maestro, </w:t>
      </w:r>
      <w:r>
        <w:rPr>
          <w:i w:val="1"/>
          <w:iCs w:val="1"/>
          <w:rtl w:val="0"/>
          <w:lang w:val="ru-RU"/>
        </w:rPr>
        <w:t>МИР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Для оплаты товара банковской картой при оформлении заказа в интернет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магазине выберите способ оплаты</w:t>
      </w:r>
      <w:r>
        <w:rPr>
          <w:i w:val="1"/>
          <w:iCs w:val="1"/>
          <w:rtl w:val="0"/>
          <w:lang w:val="ru-RU"/>
        </w:rPr>
        <w:t xml:space="preserve">: </w:t>
      </w:r>
      <w:r>
        <w:rPr>
          <w:i w:val="1"/>
          <w:iCs w:val="1"/>
          <w:rtl w:val="0"/>
          <w:lang w:val="ru-RU"/>
        </w:rPr>
        <w:t>банковской картой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При оплате заказа банковской картой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обработка платежа происходит на авторизационной странице банка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где Вам необходимо ввести данные Вашей банковской карты</w:t>
      </w:r>
      <w:r>
        <w:rPr>
          <w:i w:val="1"/>
          <w:iCs w:val="1"/>
          <w:rtl w:val="0"/>
          <w:lang w:val="ru-RU"/>
        </w:rPr>
        <w:t>:</w:t>
      </w:r>
    </w:p>
    <w:p>
      <w:pPr>
        <w:pStyle w:val="Основной текст A"/>
        <w:numPr>
          <w:ilvl w:val="0"/>
          <w:numId w:val="2"/>
        </w:numPr>
        <w:bidi w:val="0"/>
        <w:spacing w:before="240"/>
        <w:ind w:right="0"/>
        <w:jc w:val="left"/>
        <w:rPr>
          <w:rtl w:val="0"/>
          <w:lang w:val="ru-RU"/>
        </w:rPr>
      </w:pPr>
      <w:r>
        <w:rPr>
          <w:i w:val="1"/>
          <w:iCs w:val="1"/>
          <w:rtl w:val="0"/>
          <w:lang w:val="ru-RU"/>
        </w:rPr>
        <w:t>Тип карты</w:t>
      </w:r>
    </w:p>
    <w:p>
      <w:pPr>
        <w:pStyle w:val="Основной текст A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i w:val="1"/>
          <w:iCs w:val="1"/>
          <w:rtl w:val="0"/>
          <w:lang w:val="ru-RU"/>
        </w:rPr>
        <w:t>Номер карты</w:t>
      </w:r>
      <w:r>
        <w:rPr>
          <w:i w:val="1"/>
          <w:iCs w:val="1"/>
          <w:rtl w:val="0"/>
          <w:lang w:val="ru-RU"/>
        </w:rPr>
        <w:t>,</w:t>
      </w:r>
    </w:p>
    <w:p>
      <w:pPr>
        <w:pStyle w:val="Основной текст A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i w:val="1"/>
          <w:iCs w:val="1"/>
          <w:rtl w:val="0"/>
          <w:lang w:val="ru-RU"/>
        </w:rPr>
        <w:t>Срок действия карты</w:t>
      </w:r>
    </w:p>
    <w:p>
      <w:pPr>
        <w:pStyle w:val="Основной текст A"/>
        <w:numPr>
          <w:ilvl w:val="0"/>
          <w:numId w:val="2"/>
        </w:numPr>
        <w:bidi w:val="0"/>
        <w:spacing w:after="240"/>
        <w:ind w:right="0"/>
        <w:jc w:val="left"/>
        <w:rPr>
          <w:rtl w:val="0"/>
          <w:lang w:val="da-DK"/>
        </w:rPr>
      </w:pPr>
      <w:r>
        <w:rPr>
          <w:i w:val="1"/>
          <w:iCs w:val="1"/>
          <w:rtl w:val="0"/>
          <w:lang w:val="da-DK"/>
        </w:rPr>
        <w:t xml:space="preserve">CVC2/CVV2 </w:t>
      </w:r>
      <w:r>
        <w:rPr>
          <w:i w:val="1"/>
          <w:iCs w:val="1"/>
          <w:rtl w:val="0"/>
          <w:lang w:val="ru-RU"/>
        </w:rPr>
        <w:t>код</w:t>
      </w:r>
    </w:p>
    <w:p>
      <w:pPr>
        <w:pStyle w:val="Основной текст A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 xml:space="preserve">Если Ваша карта подключена к услуге </w:t>
      </w:r>
      <w:r>
        <w:rPr>
          <w:i w:val="1"/>
          <w:iCs w:val="1"/>
          <w:rtl w:val="0"/>
          <w:lang w:val="en-US"/>
        </w:rPr>
        <w:t xml:space="preserve">3D-Secure, </w:t>
      </w:r>
      <w:r>
        <w:rPr>
          <w:i w:val="1"/>
          <w:iCs w:val="1"/>
          <w:rtl w:val="0"/>
          <w:lang w:val="ru-RU"/>
        </w:rPr>
        <w:t>Вы будете автоматически переадресованы на страницу банка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выпустившего карту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для прохождения процедуры аутентификации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Информацию о правилах и методах дополнительной идентификации уточняйте в Банке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выдавшем Вам банковскую карту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 A"/>
        <w:rPr>
          <w:i w:val="1"/>
          <w:iCs w:val="1"/>
        </w:rPr>
      </w:pPr>
    </w:p>
    <w:p>
      <w:pPr>
        <w:pStyle w:val="Основной текст A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 xml:space="preserve">Оплатить заказ можно банковскими картами </w:t>
      </w:r>
      <w:r>
        <w:rPr>
          <w:i w:val="1"/>
          <w:iCs w:val="1"/>
          <w:rtl w:val="0"/>
          <w:lang w:val="en-US"/>
        </w:rPr>
        <w:t xml:space="preserve">Visa, Master Card, </w:t>
      </w:r>
      <w:r>
        <w:rPr>
          <w:i w:val="1"/>
          <w:iCs w:val="1"/>
          <w:rtl w:val="0"/>
          <w:lang w:val="ru-RU"/>
        </w:rPr>
        <w:t xml:space="preserve">«Мир» или через платежные системы </w:t>
      </w:r>
      <w:r>
        <w:rPr>
          <w:i w:val="1"/>
          <w:iCs w:val="1"/>
          <w:rtl w:val="0"/>
          <w:lang w:val="it-IT"/>
        </w:rPr>
        <w:t>Apple Pay. (</w:t>
      </w:r>
      <w:r>
        <w:rPr>
          <w:i w:val="1"/>
          <w:iCs w:val="1"/>
          <w:rtl w:val="0"/>
          <w:lang w:val="ru-RU"/>
        </w:rPr>
        <w:t>Вы можете указать дополнительные способы оплаты на своем сайте оптимально</w:t>
      </w:r>
      <w:r>
        <w:rPr>
          <w:i w:val="1"/>
          <w:iCs w:val="1"/>
          <w:rtl w:val="0"/>
          <w:lang w:val="ru-RU"/>
        </w:rPr>
        <w:t xml:space="preserve">). </w:t>
      </w:r>
      <w:r>
        <w:rPr>
          <w:i w:val="1"/>
          <w:iCs w:val="1"/>
          <w:rtl w:val="0"/>
          <w:lang w:val="ru-RU"/>
        </w:rPr>
        <w:t>Чтобы оплатить покупку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 xml:space="preserve">вы будете перенаправлены на сервер платежной системы </w:t>
      </w:r>
      <w:r>
        <w:rPr>
          <w:i w:val="1"/>
          <w:iCs w:val="1"/>
          <w:rtl w:val="0"/>
          <w:lang w:val="en-US"/>
        </w:rPr>
        <w:t xml:space="preserve">Unitpay, </w:t>
      </w:r>
      <w:r>
        <w:rPr>
          <w:i w:val="1"/>
          <w:iCs w:val="1"/>
          <w:rtl w:val="0"/>
          <w:lang w:val="ru-RU"/>
        </w:rPr>
        <w:t>на котором нужно ввести необходимые данные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 xml:space="preserve">При оплате банковской картой безопасность платежей гарантирует процессинговый центр </w:t>
      </w:r>
      <w:r>
        <w:rPr>
          <w:i w:val="1"/>
          <w:iCs w:val="1"/>
          <w:rtl w:val="0"/>
          <w:lang w:val="ru-RU"/>
        </w:rPr>
        <w:t>Unitpay.</w:t>
      </w:r>
    </w:p>
    <w:p>
      <w:pPr>
        <w:pStyle w:val="Основной текст A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 xml:space="preserve">Платежная система </w:t>
      </w:r>
      <w:r>
        <w:rPr>
          <w:i w:val="1"/>
          <w:iCs w:val="1"/>
          <w:rtl w:val="0"/>
          <w:lang w:val="en-US"/>
        </w:rPr>
        <w:t xml:space="preserve">Unitpay </w:t>
      </w:r>
      <w:r>
        <w:rPr>
          <w:i w:val="1"/>
          <w:iCs w:val="1"/>
          <w:rtl w:val="0"/>
          <w:lang w:val="ru-RU"/>
        </w:rPr>
        <w:t xml:space="preserve">обладает подтвержденным сертификатом соответствия требованиям стандарта </w:t>
      </w:r>
      <w:r>
        <w:rPr>
          <w:i w:val="1"/>
          <w:iCs w:val="1"/>
          <w:rtl w:val="0"/>
          <w:lang w:val="en-US"/>
        </w:rPr>
        <w:t xml:space="preserve">PCI DSS </w:t>
      </w:r>
      <w:r>
        <w:rPr>
          <w:i w:val="1"/>
          <w:iCs w:val="1"/>
          <w:rtl w:val="0"/>
          <w:lang w:val="ru-RU"/>
        </w:rPr>
        <w:t>в части хранения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обработки и передачи данных держателей карт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 xml:space="preserve">Стандарт безопасности банковских карт </w:t>
      </w:r>
      <w:r>
        <w:rPr>
          <w:i w:val="1"/>
          <w:iCs w:val="1"/>
          <w:rtl w:val="0"/>
          <w:lang w:val="en-US"/>
        </w:rPr>
        <w:t xml:space="preserve">PCI DSS </w:t>
      </w:r>
      <w:r>
        <w:rPr>
          <w:i w:val="1"/>
          <w:iCs w:val="1"/>
          <w:rtl w:val="0"/>
          <w:lang w:val="ru-RU"/>
        </w:rPr>
        <w:t>поддерживается международными платежными системами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 xml:space="preserve">включая </w:t>
      </w:r>
      <w:r>
        <w:rPr>
          <w:i w:val="1"/>
          <w:iCs w:val="1"/>
          <w:rtl w:val="0"/>
          <w:lang w:val="en-US"/>
        </w:rPr>
        <w:t xml:space="preserve">MasterCard </w:t>
      </w:r>
      <w:r>
        <w:rPr>
          <w:i w:val="1"/>
          <w:iCs w:val="1"/>
          <w:rtl w:val="0"/>
          <w:lang w:val="ru-RU"/>
        </w:rPr>
        <w:t xml:space="preserve">и </w:t>
      </w:r>
      <w:r>
        <w:rPr>
          <w:i w:val="1"/>
          <w:iCs w:val="1"/>
          <w:rtl w:val="0"/>
          <w:lang w:val="ru-RU"/>
        </w:rPr>
        <w:t xml:space="preserve">Visa, Inc. </w:t>
      </w:r>
      <w:r>
        <w:rPr>
          <w:i w:val="1"/>
          <w:iCs w:val="1"/>
          <w:rtl w:val="0"/>
          <w:lang w:val="ru-RU"/>
        </w:rPr>
        <w:t xml:space="preserve">Система </w:t>
      </w:r>
      <w:r>
        <w:rPr>
          <w:i w:val="1"/>
          <w:iCs w:val="1"/>
          <w:rtl w:val="0"/>
          <w:lang w:val="en-US"/>
        </w:rPr>
        <w:t xml:space="preserve">Unitpay </w:t>
      </w:r>
      <w:r>
        <w:rPr>
          <w:i w:val="1"/>
          <w:iCs w:val="1"/>
          <w:rtl w:val="0"/>
          <w:lang w:val="ru-RU"/>
        </w:rPr>
        <w:t xml:space="preserve">также является участником программы непрерывного соответствия </w:t>
      </w:r>
      <w:r>
        <w:rPr>
          <w:i w:val="1"/>
          <w:iCs w:val="1"/>
          <w:rtl w:val="0"/>
          <w:lang w:val="en-US"/>
        </w:rPr>
        <w:t xml:space="preserve">Compliance Control PCI DSS Compliance Process (P.D.C.P.). </w:t>
      </w:r>
      <w:r>
        <w:rPr>
          <w:i w:val="1"/>
          <w:iCs w:val="1"/>
          <w:rtl w:val="0"/>
          <w:lang w:val="ru-RU"/>
        </w:rPr>
        <w:t>Ваши конфиденциальные данные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 xml:space="preserve">необходимые для оплаты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реквизиты карты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регистрационные данные и др</w:t>
      </w:r>
      <w:r>
        <w:rPr>
          <w:i w:val="1"/>
          <w:iCs w:val="1"/>
          <w:rtl w:val="0"/>
          <w:lang w:val="ru-RU"/>
        </w:rPr>
        <w:t xml:space="preserve">.), </w:t>
      </w:r>
      <w:r>
        <w:rPr>
          <w:i w:val="1"/>
          <w:iCs w:val="1"/>
          <w:rtl w:val="0"/>
          <w:lang w:val="ru-RU"/>
        </w:rPr>
        <w:t>не поступают в интернет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 xml:space="preserve">магазин — их обработка производится на стороне процессингового центра </w:t>
      </w:r>
      <w:r>
        <w:rPr>
          <w:i w:val="1"/>
          <w:iCs w:val="1"/>
          <w:rtl w:val="0"/>
          <w:lang w:val="en-US"/>
        </w:rPr>
        <w:t xml:space="preserve">Unitpay </w:t>
      </w:r>
      <w:r>
        <w:rPr>
          <w:i w:val="1"/>
          <w:iCs w:val="1"/>
          <w:rtl w:val="0"/>
          <w:lang w:val="ru-RU"/>
        </w:rPr>
        <w:t>и полностью защищена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 A"/>
        <w:rPr>
          <w:i w:val="1"/>
          <w:iCs w:val="1"/>
        </w:rPr>
      </w:pPr>
      <w:r>
        <w:rPr>
          <w:i w:val="1"/>
          <w:iCs w:val="1"/>
        </w:rPr>
        <w:br w:type="textWrapping"/>
        <w:br w:type="textWrapping"/>
      </w:r>
    </w:p>
    <w:p>
      <w:pPr>
        <w:pStyle w:val="Основной текст A"/>
        <w:rPr>
          <w:b w:val="1"/>
          <w:bCs w:val="1"/>
        </w:rPr>
      </w:pPr>
    </w:p>
    <w:p>
      <w:pPr>
        <w:pStyle w:val="Основной текст A"/>
        <w:rPr>
          <w:b w:val="1"/>
          <w:bCs w:val="1"/>
        </w:rPr>
      </w:pPr>
    </w:p>
    <w:p>
      <w:pPr>
        <w:pStyle w:val="Основной текст A"/>
        <w:rPr>
          <w:b w:val="1"/>
          <w:bCs w:val="1"/>
        </w:rPr>
      </w:pPr>
    </w:p>
    <w:p>
      <w:pPr>
        <w:pStyle w:val="Основной текст A"/>
        <w:rPr>
          <w:b w:val="1"/>
          <w:bCs w:val="1"/>
        </w:rPr>
      </w:pPr>
    </w:p>
    <w:p>
      <w:pPr>
        <w:pStyle w:val="Основной текст A"/>
        <w:rPr>
          <w:b w:val="1"/>
          <w:bCs w:val="1"/>
        </w:rPr>
      </w:pPr>
    </w:p>
    <w:p>
      <w:pPr>
        <w:pStyle w:val="Основной текст A"/>
        <w:rPr>
          <w:b w:val="1"/>
          <w:bCs w:val="1"/>
        </w:rPr>
      </w:pPr>
    </w:p>
    <w:p>
      <w:pPr>
        <w:pStyle w:val="Основной текст A"/>
        <w:rPr>
          <w:b w:val="1"/>
          <w:bCs w:val="1"/>
        </w:rPr>
      </w:pPr>
    </w:p>
    <w:p>
      <w:pPr>
        <w:pStyle w:val="Основной текст A"/>
        <w:rPr>
          <w:b w:val="1"/>
          <w:bCs w:val="1"/>
        </w:rPr>
      </w:pPr>
    </w:p>
    <w:p>
      <w:pPr>
        <w:pStyle w:val="Основной текст A"/>
        <w:rPr>
          <w:b w:val="1"/>
          <w:bCs w:val="1"/>
        </w:rPr>
      </w:pPr>
    </w:p>
    <w:p>
      <w:pPr>
        <w:pStyle w:val="Основной текст A"/>
        <w:rPr>
          <w:b w:val="1"/>
          <w:bCs w:val="1"/>
        </w:rPr>
      </w:pPr>
    </w:p>
    <w:p>
      <w:pPr>
        <w:pStyle w:val="Основной текст A"/>
        <w:rPr>
          <w:i w:val="1"/>
          <w:iCs w:val="1"/>
        </w:rPr>
      </w:pPr>
      <w:r>
        <w:rPr>
          <w:b w:val="1"/>
          <w:bCs w:val="1"/>
          <w:rtl w:val="0"/>
          <w:lang w:val="ru-RU"/>
        </w:rPr>
        <w:t>Политика возвратов</w:t>
        <w:br w:type="textWrapping"/>
      </w:r>
      <w:r>
        <w:rPr>
          <w:b w:val="1"/>
          <w:bCs w:val="1"/>
          <w:i w:val="1"/>
          <w:iCs w:val="1"/>
          <w:lang w:val="ru-RU"/>
        </w:rPr>
        <w:br w:type="textWrapping"/>
      </w:r>
      <w:r>
        <w:rPr>
          <w:i w:val="1"/>
          <w:iCs w:val="1"/>
          <w:rtl w:val="0"/>
          <w:lang w:val="ru-RU"/>
        </w:rPr>
        <w:t>Для возврата денежных средств необходимо обратиться в техническую поддержку любым удобным способом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 xml:space="preserve">либо по </w:t>
      </w:r>
      <w:r>
        <w:rPr>
          <w:i w:val="1"/>
          <w:iCs w:val="1"/>
          <w:rtl w:val="0"/>
          <w:lang w:val="ru-RU"/>
        </w:rPr>
        <w:t xml:space="preserve">e-mail: </w:t>
      </w:r>
      <w:r>
        <w:rPr>
          <w:i w:val="1"/>
          <w:iCs w:val="1"/>
          <w:shd w:val="clear" w:color="auto" w:fill="00ff00"/>
          <w:rtl w:val="0"/>
          <w:lang w:val="en-US"/>
        </w:rPr>
        <w:t>refund@divine.band</w:t>
      </w:r>
      <w:r>
        <w:rPr>
          <w:lang w:val="ru-RU"/>
        </w:rPr>
        <w:br w:type="textWrapping"/>
      </w:r>
      <w:r>
        <w:rPr>
          <w:i w:val="1"/>
          <w:iCs w:val="1"/>
          <w:rtl w:val="0"/>
          <w:lang w:val="ru-RU"/>
        </w:rPr>
        <w:t xml:space="preserve">Максимальный срок рассмотрения заявки на возврат составляет </w:t>
      </w:r>
      <w:r>
        <w:rPr>
          <w:i w:val="1"/>
          <w:iCs w:val="1"/>
          <w:rtl w:val="0"/>
          <w:lang w:val="ru-RU"/>
        </w:rPr>
        <w:t xml:space="preserve">14 </w:t>
      </w:r>
      <w:r>
        <w:rPr>
          <w:i w:val="1"/>
          <w:iCs w:val="1"/>
          <w:rtl w:val="0"/>
          <w:lang w:val="ru-RU"/>
        </w:rPr>
        <w:t>календарных дней</w:t>
      </w:r>
      <w:r>
        <w:rPr>
          <w:i w:val="1"/>
          <w:iCs w:val="1"/>
          <w:rtl w:val="0"/>
          <w:lang w:val="ru-RU"/>
        </w:rPr>
        <w:t xml:space="preserve">. 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>Возврат осуществляется на те же реквизиты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которых осуществлялась оплата и только в размере неизрасходованного остатка на балансе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</w:rPr>
        <w:br w:type="textWrapping"/>
        <w:t>Возврат средств не осуществляется за цифровые товары и услуги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которые уже были активированы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использованы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клиентом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таком случае услуга считается оказанной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все обязательства перед пользователем исполненными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</w:rPr>
        <w:br w:type="textWrapping"/>
        <w:t>В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пополнение не было осуществлено по техническим причинам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пользователь вправе обратиться в техническую поддержку и потребовать осуществить пополнение либо вернуть денежные средства</w:t>
      </w:r>
      <w:r>
        <w:rPr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